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F449" w14:textId="05DCE465" w:rsidR="00145808" w:rsidRPr="00AC0905" w:rsidRDefault="00145808" w:rsidP="00145808">
      <w:pPr>
        <w:jc w:val="center"/>
        <w:rPr>
          <w:b/>
          <w:bCs/>
        </w:rPr>
      </w:pPr>
      <w:r w:rsidRPr="00AC0905">
        <w:rPr>
          <w:b/>
          <w:bCs/>
        </w:rPr>
        <w:t>Titolo</w:t>
      </w:r>
    </w:p>
    <w:p w14:paraId="573B7C47" w14:textId="024CDC90" w:rsidR="00145808" w:rsidRDefault="00145808" w:rsidP="00145808">
      <w:pPr>
        <w:jc w:val="center"/>
      </w:pPr>
      <w:r w:rsidRPr="00AC0905">
        <w:rPr>
          <w:b/>
          <w:bCs/>
        </w:rPr>
        <w:t>Proponenti</w:t>
      </w:r>
    </w:p>
    <w:p w14:paraId="3AB6B5C8" w14:textId="77777777" w:rsidR="00145808" w:rsidRDefault="00145808" w:rsidP="00145808">
      <w:pPr>
        <w:jc w:val="center"/>
      </w:pPr>
    </w:p>
    <w:p w14:paraId="59B925CB" w14:textId="48DB3FF2" w:rsidR="00145808" w:rsidRDefault="00AC0905" w:rsidP="00145808">
      <w:pPr>
        <w:jc w:val="both"/>
      </w:pPr>
      <w:r w:rsidRPr="00AC0905">
        <w:rPr>
          <w:b/>
          <w:bCs/>
        </w:rPr>
        <w:t>Periodo</w:t>
      </w:r>
      <w:r>
        <w:t>:</w:t>
      </w:r>
    </w:p>
    <w:p w14:paraId="588982B3" w14:textId="40B56E84" w:rsidR="00AC0905" w:rsidRDefault="00AC0905" w:rsidP="00AC0905">
      <w:pPr>
        <w:jc w:val="both"/>
        <w:rPr>
          <w:i/>
          <w:iCs/>
        </w:rPr>
      </w:pPr>
      <w:r w:rsidRPr="00AC0905">
        <w:rPr>
          <w:b/>
          <w:bCs/>
        </w:rPr>
        <w:t>Campo d’azione</w:t>
      </w:r>
      <w:r w:rsidR="0003196F">
        <w:rPr>
          <w:b/>
          <w:bCs/>
        </w:rPr>
        <w:t>/Caso Studio</w:t>
      </w:r>
      <w: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53"/>
        <w:gridCol w:w="5669"/>
      </w:tblGrid>
      <w:tr w:rsidR="0003196F" w:rsidRPr="00F43007" w14:paraId="290CF401" w14:textId="77777777" w:rsidTr="00410C82">
        <w:trPr>
          <w:trHeight w:val="655"/>
        </w:trPr>
        <w:tc>
          <w:tcPr>
            <w:tcW w:w="4836" w:type="dxa"/>
            <w:vAlign w:val="center"/>
          </w:tcPr>
          <w:p w14:paraId="79162C01" w14:textId="77777777" w:rsidR="0003196F" w:rsidRPr="00F43007" w:rsidRDefault="0003196F" w:rsidP="00410C82">
            <w:pPr>
              <w:jc w:val="center"/>
              <w:rPr>
                <w:b/>
                <w:color w:val="333333"/>
                <w:shd w:val="clear" w:color="auto" w:fill="FFFFFF"/>
              </w:rPr>
            </w:pPr>
            <w:r w:rsidRPr="00F43007">
              <w:rPr>
                <w:b/>
                <w:color w:val="333333"/>
                <w:shd w:val="clear" w:color="auto" w:fill="FFFFFF"/>
              </w:rPr>
              <w:t>VALORIZZAZIONE DELLA RICERCA</w:t>
            </w:r>
          </w:p>
        </w:tc>
        <w:tc>
          <w:tcPr>
            <w:tcW w:w="4792" w:type="dxa"/>
            <w:vAlign w:val="center"/>
          </w:tcPr>
          <w:p w14:paraId="62A32D47" w14:textId="77777777" w:rsidR="0003196F" w:rsidRPr="00F43007" w:rsidRDefault="0003196F" w:rsidP="00410C82">
            <w:pPr>
              <w:jc w:val="center"/>
              <w:rPr>
                <w:b/>
                <w:color w:val="333333"/>
                <w:shd w:val="clear" w:color="auto" w:fill="FFFFFF"/>
              </w:rPr>
            </w:pPr>
            <w:r w:rsidRPr="00F43007">
              <w:rPr>
                <w:b/>
                <w:color w:val="333333"/>
                <w:shd w:val="clear" w:color="auto" w:fill="FFFFFF"/>
              </w:rPr>
              <w:t>PRODUZIONE DI BENI PUBBLICI</w:t>
            </w:r>
          </w:p>
        </w:tc>
      </w:tr>
      <w:tr w:rsidR="0003196F" w:rsidRPr="00F43007" w14:paraId="1AD67E33" w14:textId="77777777" w:rsidTr="00410C82">
        <w:tc>
          <w:tcPr>
            <w:tcW w:w="4836" w:type="dxa"/>
          </w:tcPr>
          <w:p w14:paraId="70F9A3D3" w14:textId="77777777" w:rsidR="0003196F" w:rsidRPr="00F43007" w:rsidRDefault="0003196F" w:rsidP="00410C82">
            <w:pPr>
              <w:jc w:val="center"/>
              <w:rPr>
                <w:b/>
                <w:color w:val="333333"/>
                <w:shd w:val="clear" w:color="auto" w:fill="FFFFFF"/>
              </w:rPr>
            </w:pPr>
            <w:r w:rsidRPr="00F43007">
              <w:rPr>
                <w:b/>
                <w:color w:val="333333"/>
                <w:shd w:val="clear" w:color="auto" w:fill="FFFFFF"/>
              </w:rPr>
              <w:t>CAMPI D’AZIONE</w:t>
            </w:r>
          </w:p>
          <w:p w14:paraId="340ED136" w14:textId="77777777" w:rsidR="0003196F" w:rsidRPr="00F43007" w:rsidRDefault="0003196F" w:rsidP="00410C82">
            <w:pPr>
              <w:jc w:val="center"/>
              <w:rPr>
                <w:b/>
                <w:color w:val="333333"/>
                <w:shd w:val="clear" w:color="auto" w:fill="FFFFFF"/>
              </w:rPr>
            </w:pPr>
            <w:r w:rsidRPr="00F43007">
              <w:rPr>
                <w:b/>
                <w:color w:val="333333"/>
                <w:shd w:val="clear" w:color="auto" w:fill="FFFFFF"/>
              </w:rPr>
              <w:t>Casi Studio</w:t>
            </w:r>
          </w:p>
        </w:tc>
        <w:tc>
          <w:tcPr>
            <w:tcW w:w="4792" w:type="dxa"/>
          </w:tcPr>
          <w:p w14:paraId="377CCC53" w14:textId="77777777" w:rsidR="0003196F" w:rsidRPr="00F43007" w:rsidRDefault="0003196F" w:rsidP="00410C82">
            <w:pPr>
              <w:jc w:val="center"/>
              <w:rPr>
                <w:b/>
                <w:color w:val="333333"/>
                <w:shd w:val="clear" w:color="auto" w:fill="FFFFFF"/>
              </w:rPr>
            </w:pPr>
            <w:r w:rsidRPr="00F43007">
              <w:rPr>
                <w:b/>
                <w:color w:val="333333"/>
                <w:shd w:val="clear" w:color="auto" w:fill="FFFFFF"/>
              </w:rPr>
              <w:t xml:space="preserve">CAMPI D’AZIONE </w:t>
            </w:r>
          </w:p>
          <w:p w14:paraId="49B75F79" w14:textId="77777777" w:rsidR="0003196F" w:rsidRPr="00F43007" w:rsidRDefault="0003196F" w:rsidP="00410C82">
            <w:pPr>
              <w:jc w:val="center"/>
              <w:rPr>
                <w:b/>
                <w:color w:val="333333"/>
                <w:shd w:val="clear" w:color="auto" w:fill="FFFFFF"/>
              </w:rPr>
            </w:pPr>
            <w:r w:rsidRPr="00F43007">
              <w:rPr>
                <w:b/>
                <w:color w:val="333333"/>
                <w:shd w:val="clear" w:color="auto" w:fill="FFFFFF"/>
              </w:rPr>
              <w:t>Casi Studio</w:t>
            </w:r>
          </w:p>
        </w:tc>
      </w:tr>
      <w:tr w:rsidR="0003196F" w:rsidRPr="00F43007" w14:paraId="57DA93B2" w14:textId="77777777" w:rsidTr="00410C82">
        <w:tc>
          <w:tcPr>
            <w:tcW w:w="4836" w:type="dxa"/>
          </w:tcPr>
          <w:p w14:paraId="31B42AD1" w14:textId="77777777" w:rsidR="0003196F" w:rsidRPr="00F43007" w:rsidRDefault="0003196F" w:rsidP="0003196F">
            <w:pPr>
              <w:pStyle w:val="Paragrafoelenco"/>
              <w:numPr>
                <w:ilvl w:val="0"/>
                <w:numId w:val="10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  <w:b/>
              </w:rPr>
              <w:t>Valorizzazione della proprietà intellettuale o industriale*</w:t>
            </w:r>
          </w:p>
          <w:p w14:paraId="67DB67EB" w14:textId="77777777" w:rsidR="0003196F" w:rsidRPr="00F43007" w:rsidRDefault="0003196F" w:rsidP="0003196F">
            <w:pPr>
              <w:pStyle w:val="Paragrafoelenco"/>
              <w:numPr>
                <w:ilvl w:val="2"/>
                <w:numId w:val="5"/>
              </w:numPr>
              <w:tabs>
                <w:tab w:val="left" w:pos="1169"/>
              </w:tabs>
              <w:spacing w:after="160" w:line="259" w:lineRule="auto"/>
              <w:ind w:left="1027" w:firstLine="0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Brevetti</w:t>
            </w:r>
          </w:p>
          <w:p w14:paraId="672E93F6" w14:textId="77777777" w:rsidR="0003196F" w:rsidRPr="00F43007" w:rsidRDefault="0003196F" w:rsidP="0003196F">
            <w:pPr>
              <w:pStyle w:val="Paragrafoelenco"/>
              <w:numPr>
                <w:ilvl w:val="2"/>
                <w:numId w:val="5"/>
              </w:numPr>
              <w:tabs>
                <w:tab w:val="left" w:pos="1169"/>
              </w:tabs>
              <w:spacing w:after="160" w:line="259" w:lineRule="auto"/>
              <w:ind w:left="1027" w:firstLine="0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Privative Vegetali</w:t>
            </w:r>
          </w:p>
          <w:p w14:paraId="00EF2C4C" w14:textId="77777777" w:rsidR="0003196F" w:rsidRPr="00F43007" w:rsidRDefault="0003196F" w:rsidP="0003196F">
            <w:pPr>
              <w:pStyle w:val="Paragrafoelenco"/>
              <w:numPr>
                <w:ilvl w:val="2"/>
                <w:numId w:val="5"/>
              </w:numPr>
              <w:tabs>
                <w:tab w:val="left" w:pos="1169"/>
              </w:tabs>
              <w:spacing w:after="160" w:line="259" w:lineRule="auto"/>
              <w:ind w:left="1027" w:firstLine="0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 xml:space="preserve">Altro Prodotto di cui al </w:t>
            </w:r>
            <w:proofErr w:type="spellStart"/>
            <w:r w:rsidRPr="00F43007">
              <w:rPr>
                <w:rFonts w:eastAsia="Times New Roman"/>
              </w:rPr>
              <w:t>D.lgs</w:t>
            </w:r>
            <w:proofErr w:type="spellEnd"/>
            <w:r w:rsidRPr="00F43007">
              <w:rPr>
                <w:rFonts w:eastAsia="Times New Roman"/>
              </w:rPr>
              <w:t xml:space="preserve"> 30/2005, art. 2, c.1</w:t>
            </w:r>
          </w:p>
        </w:tc>
        <w:tc>
          <w:tcPr>
            <w:tcW w:w="4792" w:type="dxa"/>
          </w:tcPr>
          <w:p w14:paraId="7283109C" w14:textId="77777777" w:rsidR="0003196F" w:rsidRPr="00F43007" w:rsidRDefault="0003196F" w:rsidP="0003196F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  <w:b/>
              </w:rPr>
              <w:t>Gestione del patrimonio e attività culturali</w:t>
            </w:r>
          </w:p>
          <w:p w14:paraId="292128EF" w14:textId="77777777" w:rsidR="0003196F" w:rsidRPr="00F43007" w:rsidRDefault="0003196F" w:rsidP="0003196F">
            <w:pPr>
              <w:pStyle w:val="Paragrafoelenco"/>
              <w:numPr>
                <w:ilvl w:val="0"/>
                <w:numId w:val="9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Scavi Archeologici</w:t>
            </w:r>
          </w:p>
          <w:p w14:paraId="782C2C5E" w14:textId="77777777" w:rsidR="0003196F" w:rsidRPr="00F43007" w:rsidRDefault="0003196F" w:rsidP="0003196F">
            <w:pPr>
              <w:pStyle w:val="Paragrafoelenco"/>
              <w:numPr>
                <w:ilvl w:val="0"/>
                <w:numId w:val="9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Poli Museali</w:t>
            </w:r>
          </w:p>
          <w:p w14:paraId="51AF004B" w14:textId="77777777" w:rsidR="0003196F" w:rsidRPr="00F43007" w:rsidRDefault="0003196F" w:rsidP="0003196F">
            <w:pPr>
              <w:pStyle w:val="Paragrafoelenco"/>
              <w:numPr>
                <w:ilvl w:val="0"/>
                <w:numId w:val="9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Attività Musicali</w:t>
            </w:r>
          </w:p>
          <w:p w14:paraId="41AB17AF" w14:textId="77777777" w:rsidR="0003196F" w:rsidRPr="00F43007" w:rsidRDefault="0003196F" w:rsidP="0003196F">
            <w:pPr>
              <w:pStyle w:val="Paragrafoelenco"/>
              <w:numPr>
                <w:ilvl w:val="0"/>
                <w:numId w:val="9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Immobili</w:t>
            </w:r>
          </w:p>
          <w:p w14:paraId="5BB877A1" w14:textId="77777777" w:rsidR="0003196F" w:rsidRPr="00F43007" w:rsidRDefault="0003196F" w:rsidP="0003196F">
            <w:pPr>
              <w:pStyle w:val="Paragrafoelenco"/>
              <w:numPr>
                <w:ilvl w:val="0"/>
                <w:numId w:val="9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Archivi Storici</w:t>
            </w:r>
          </w:p>
          <w:p w14:paraId="4ED23A46" w14:textId="77777777" w:rsidR="0003196F" w:rsidRPr="00F43007" w:rsidRDefault="0003196F" w:rsidP="0003196F">
            <w:pPr>
              <w:pStyle w:val="Paragrafoelenco"/>
              <w:numPr>
                <w:ilvl w:val="0"/>
                <w:numId w:val="9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Biblioteche Ed Emeroteche Storiche</w:t>
            </w:r>
          </w:p>
          <w:p w14:paraId="721260A6" w14:textId="77777777" w:rsidR="0003196F" w:rsidRPr="00F43007" w:rsidRDefault="0003196F" w:rsidP="0003196F">
            <w:pPr>
              <w:pStyle w:val="Paragrafoelenco"/>
              <w:numPr>
                <w:ilvl w:val="0"/>
                <w:numId w:val="9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Teatri</w:t>
            </w:r>
          </w:p>
          <w:p w14:paraId="4612BC9C" w14:textId="77777777" w:rsidR="0003196F" w:rsidRPr="00F43007" w:rsidRDefault="0003196F" w:rsidP="0003196F">
            <w:pPr>
              <w:pStyle w:val="Paragrafoelenco"/>
              <w:numPr>
                <w:ilvl w:val="0"/>
                <w:numId w:val="9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Impianti Sportivi</w:t>
            </w:r>
          </w:p>
        </w:tc>
      </w:tr>
      <w:tr w:rsidR="0003196F" w:rsidRPr="00F43007" w14:paraId="1369A742" w14:textId="77777777" w:rsidTr="00410C82">
        <w:trPr>
          <w:trHeight w:val="865"/>
        </w:trPr>
        <w:tc>
          <w:tcPr>
            <w:tcW w:w="4836" w:type="dxa"/>
          </w:tcPr>
          <w:p w14:paraId="77610A7F" w14:textId="77777777" w:rsidR="0003196F" w:rsidRPr="00F43007" w:rsidRDefault="0003196F" w:rsidP="0003196F">
            <w:pPr>
              <w:pStyle w:val="Paragrafoelenco"/>
              <w:numPr>
                <w:ilvl w:val="0"/>
                <w:numId w:val="4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  <w:b/>
              </w:rPr>
              <w:t>Imprenditorialità accademica</w:t>
            </w:r>
            <w:r w:rsidRPr="00F43007">
              <w:rPr>
                <w:rFonts w:eastAsia="Times New Roman"/>
              </w:rPr>
              <w:t>*</w:t>
            </w:r>
          </w:p>
          <w:p w14:paraId="60DCAD7C" w14:textId="77777777" w:rsidR="0003196F" w:rsidRPr="00F43007" w:rsidRDefault="0003196F" w:rsidP="0003196F">
            <w:pPr>
              <w:pStyle w:val="Paragrafoelenco"/>
              <w:numPr>
                <w:ilvl w:val="0"/>
                <w:numId w:val="6"/>
              </w:numPr>
              <w:tabs>
                <w:tab w:val="left" w:pos="1169"/>
              </w:tabs>
              <w:spacing w:after="160" w:line="259" w:lineRule="auto"/>
              <w:ind w:firstLine="307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Spin off</w:t>
            </w:r>
          </w:p>
          <w:p w14:paraId="0CF857ED" w14:textId="77777777" w:rsidR="0003196F" w:rsidRPr="00F43007" w:rsidRDefault="0003196F" w:rsidP="0003196F">
            <w:pPr>
              <w:pStyle w:val="Paragrafoelenco"/>
              <w:numPr>
                <w:ilvl w:val="0"/>
                <w:numId w:val="6"/>
              </w:numPr>
              <w:tabs>
                <w:tab w:val="left" w:pos="1169"/>
              </w:tabs>
              <w:spacing w:after="160" w:line="259" w:lineRule="auto"/>
              <w:ind w:firstLine="307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Start up</w:t>
            </w:r>
          </w:p>
        </w:tc>
        <w:tc>
          <w:tcPr>
            <w:tcW w:w="4792" w:type="dxa"/>
          </w:tcPr>
          <w:p w14:paraId="2E51C576" w14:textId="77777777" w:rsidR="0003196F" w:rsidRPr="00F43007" w:rsidRDefault="0003196F" w:rsidP="0003196F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eastAsia="Times New Roman"/>
                <w:b/>
              </w:rPr>
            </w:pPr>
            <w:r w:rsidRPr="00F43007">
              <w:rPr>
                <w:rFonts w:eastAsia="Times New Roman"/>
                <w:b/>
              </w:rPr>
              <w:t xml:space="preserve">Attività per la salute pubblica </w:t>
            </w:r>
          </w:p>
          <w:p w14:paraId="121119B6" w14:textId="77777777" w:rsidR="0003196F" w:rsidRPr="00F43007" w:rsidRDefault="0003196F" w:rsidP="0003196F">
            <w:pPr>
              <w:pStyle w:val="Paragrafoelenco"/>
              <w:numPr>
                <w:ilvl w:val="0"/>
                <w:numId w:val="2"/>
              </w:numPr>
              <w:tabs>
                <w:tab w:val="left" w:pos="865"/>
                <w:tab w:val="left" w:pos="1432"/>
              </w:tabs>
              <w:spacing w:after="160" w:line="259" w:lineRule="auto"/>
              <w:ind w:firstLine="3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Sperimentazione clinica su farmaci</w:t>
            </w:r>
          </w:p>
          <w:p w14:paraId="3514066D" w14:textId="77777777" w:rsidR="0003196F" w:rsidRPr="00F43007" w:rsidRDefault="0003196F" w:rsidP="0003196F">
            <w:pPr>
              <w:pStyle w:val="Paragrafoelenco"/>
              <w:numPr>
                <w:ilvl w:val="0"/>
                <w:numId w:val="2"/>
              </w:numPr>
              <w:tabs>
                <w:tab w:val="left" w:pos="865"/>
                <w:tab w:val="left" w:pos="1432"/>
              </w:tabs>
              <w:spacing w:after="160" w:line="259" w:lineRule="auto"/>
              <w:ind w:firstLine="3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Sperimentazione su dispositivi medici</w:t>
            </w:r>
          </w:p>
          <w:p w14:paraId="5C475CFC" w14:textId="77777777" w:rsidR="0003196F" w:rsidRPr="00F43007" w:rsidRDefault="0003196F" w:rsidP="0003196F">
            <w:pPr>
              <w:pStyle w:val="Paragrafoelenco"/>
              <w:numPr>
                <w:ilvl w:val="0"/>
                <w:numId w:val="2"/>
              </w:numPr>
              <w:tabs>
                <w:tab w:val="left" w:pos="865"/>
                <w:tab w:val="left" w:pos="1432"/>
              </w:tabs>
              <w:spacing w:after="160" w:line="259" w:lineRule="auto"/>
              <w:ind w:firstLine="3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Studi osservazionali non interventistici (</w:t>
            </w:r>
            <w:r w:rsidRPr="00F43007">
              <w:rPr>
                <w:rFonts w:eastAsia="Times New Roman"/>
                <w:i/>
              </w:rPr>
              <w:t>Questi studi rivestono particolare importanza per la valutazione del profilo di sicurezza dei farmaci nelle normali condizioni di uso e su grandi numeri di soggetti, per approfondimenti sull’efficacia nella normale pratica clinica, per la verifica dell’appropriatezza prescrittiva e per valutazioni di tipo farmaco-economico. Di conseguenza, gli studi osservazionali hanno particolare rilevanza per l’analisi della qualità delle cure, dei profili assistenziali e delle relative ricadute economiche. Inoltre, anche questi possono essere rivolti a popolazioni particolari, generalmente meno presenti nella ricerca sponsorizzata, ma molto importanti da un punto di vista sociale. Anche questi studi vengono censiti da AIFA, mediante il Registro degli Studi Osservazionali)</w:t>
            </w:r>
            <w:r w:rsidRPr="00F43007">
              <w:rPr>
                <w:rFonts w:eastAsia="Times New Roman"/>
              </w:rPr>
              <w:t>.</w:t>
            </w:r>
          </w:p>
          <w:p w14:paraId="38C72423" w14:textId="77777777" w:rsidR="0003196F" w:rsidRPr="00F43007" w:rsidRDefault="0003196F" w:rsidP="0003196F">
            <w:pPr>
              <w:pStyle w:val="Paragrafoelenco"/>
              <w:numPr>
                <w:ilvl w:val="0"/>
                <w:numId w:val="2"/>
              </w:numPr>
              <w:tabs>
                <w:tab w:val="left" w:pos="865"/>
                <w:tab w:val="left" w:pos="1432"/>
              </w:tabs>
              <w:spacing w:after="160" w:line="259" w:lineRule="auto"/>
              <w:ind w:firstLine="3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Empowerment del paziente (</w:t>
            </w:r>
            <w:r w:rsidRPr="00F43007">
              <w:rPr>
                <w:rFonts w:eastAsia="Times New Roman"/>
                <w:i/>
              </w:rPr>
              <w:t xml:space="preserve">organizzazione di corsi per pazienti esperti, la partecipazione di pazienti alla predisposizione di trial e studi, l’istituzione di registri di patologia, la presenza </w:t>
            </w:r>
            <w:r w:rsidRPr="00F43007">
              <w:rPr>
                <w:rFonts w:eastAsia="Times New Roman"/>
                <w:i/>
              </w:rPr>
              <w:lastRenderedPageBreak/>
              <w:t>di associazioni di pazienti all’interno della struttura).</w:t>
            </w:r>
          </w:p>
          <w:p w14:paraId="4AC21E78" w14:textId="77777777" w:rsidR="0003196F" w:rsidRPr="00F43007" w:rsidRDefault="0003196F" w:rsidP="0003196F">
            <w:pPr>
              <w:pStyle w:val="Paragrafoelenco"/>
              <w:numPr>
                <w:ilvl w:val="0"/>
                <w:numId w:val="2"/>
              </w:numPr>
              <w:tabs>
                <w:tab w:val="left" w:pos="865"/>
                <w:tab w:val="left" w:pos="1432"/>
              </w:tabs>
              <w:spacing w:after="160" w:line="259" w:lineRule="auto"/>
              <w:ind w:firstLine="3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 xml:space="preserve">Cliniche veterinarie </w:t>
            </w:r>
            <w:r w:rsidRPr="00F43007">
              <w:rPr>
                <w:rFonts w:eastAsia="Times New Roman"/>
                <w:i/>
              </w:rPr>
              <w:t>(in ragione della loro funzione di osservatorio epidemiologico. Le strutture possono essere anche in collaborazione con altri enti e documentate da apposita convenzione).</w:t>
            </w:r>
          </w:p>
          <w:p w14:paraId="1417AD93" w14:textId="77777777" w:rsidR="0003196F" w:rsidRPr="00F43007" w:rsidRDefault="0003196F" w:rsidP="0003196F">
            <w:pPr>
              <w:pStyle w:val="Paragrafoelenco"/>
              <w:numPr>
                <w:ilvl w:val="0"/>
                <w:numId w:val="2"/>
              </w:numPr>
              <w:tabs>
                <w:tab w:val="left" w:pos="865"/>
                <w:tab w:val="left" w:pos="1432"/>
              </w:tabs>
              <w:spacing w:after="160" w:line="259" w:lineRule="auto"/>
              <w:ind w:firstLine="3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Giornate informative e di prevenzione</w:t>
            </w:r>
          </w:p>
          <w:p w14:paraId="6B6A9AEB" w14:textId="77777777" w:rsidR="0003196F" w:rsidRPr="00F43007" w:rsidRDefault="0003196F" w:rsidP="0003196F">
            <w:pPr>
              <w:pStyle w:val="Paragrafoelenco"/>
              <w:numPr>
                <w:ilvl w:val="0"/>
                <w:numId w:val="2"/>
              </w:numPr>
              <w:tabs>
                <w:tab w:val="left" w:pos="865"/>
                <w:tab w:val="left" w:pos="1432"/>
              </w:tabs>
              <w:spacing w:after="160" w:line="259" w:lineRule="auto"/>
              <w:ind w:firstLine="3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Campagne di screening e sensibilizzazione.</w:t>
            </w:r>
          </w:p>
          <w:p w14:paraId="73C62440" w14:textId="77777777" w:rsidR="0003196F" w:rsidRPr="00F43007" w:rsidRDefault="0003196F" w:rsidP="0003196F">
            <w:pPr>
              <w:pStyle w:val="Paragrafoelenco"/>
              <w:numPr>
                <w:ilvl w:val="0"/>
                <w:numId w:val="2"/>
              </w:numPr>
              <w:tabs>
                <w:tab w:val="left" w:pos="865"/>
                <w:tab w:val="left" w:pos="1432"/>
              </w:tabs>
              <w:spacing w:after="160" w:line="259" w:lineRule="auto"/>
              <w:ind w:firstLine="3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 xml:space="preserve">Strutture a supporto </w:t>
            </w:r>
            <w:r w:rsidRPr="00F43007">
              <w:rPr>
                <w:rFonts w:eastAsia="Times New Roman"/>
                <w:i/>
              </w:rPr>
              <w:t>(esempio strutture a supporto della ricerca. quali biobanche e strutture (ad es. ambulatori, ecc.) a servizio di popolazioni particolari (come ad es. pediatriche, malattie rare, salute della donna) o a rischio sociale (legate alla povertà specie di soggetti anziani o immigrati).</w:t>
            </w:r>
          </w:p>
        </w:tc>
      </w:tr>
      <w:tr w:rsidR="0003196F" w:rsidRPr="00F43007" w14:paraId="778CC4B4" w14:textId="77777777" w:rsidTr="00410C82">
        <w:tc>
          <w:tcPr>
            <w:tcW w:w="4836" w:type="dxa"/>
          </w:tcPr>
          <w:p w14:paraId="57425A21" w14:textId="77777777" w:rsidR="0003196F" w:rsidRPr="00F43007" w:rsidRDefault="0003196F" w:rsidP="0003196F">
            <w:pPr>
              <w:pStyle w:val="Paragrafoelenco"/>
              <w:numPr>
                <w:ilvl w:val="0"/>
                <w:numId w:val="3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  <w:b/>
              </w:rPr>
              <w:t>Strutture di intermediazione</w:t>
            </w:r>
            <w:r w:rsidRPr="00F43007">
              <w:rPr>
                <w:rFonts w:eastAsia="Times New Roman"/>
              </w:rPr>
              <w:t>*</w:t>
            </w:r>
          </w:p>
          <w:p w14:paraId="278884F3" w14:textId="77777777" w:rsidR="0003196F" w:rsidRPr="00F43007" w:rsidRDefault="0003196F" w:rsidP="0003196F">
            <w:pPr>
              <w:pStyle w:val="Paragrafoelenco"/>
              <w:numPr>
                <w:ilvl w:val="0"/>
                <w:numId w:val="7"/>
              </w:numPr>
              <w:tabs>
                <w:tab w:val="left" w:pos="886"/>
              </w:tabs>
              <w:spacing w:after="160" w:line="259" w:lineRule="auto"/>
              <w:ind w:firstLine="24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Sezione generale</w:t>
            </w:r>
          </w:p>
          <w:p w14:paraId="3B611367" w14:textId="77777777" w:rsidR="0003196F" w:rsidRPr="00F43007" w:rsidRDefault="0003196F" w:rsidP="0003196F">
            <w:pPr>
              <w:pStyle w:val="Paragrafoelenco"/>
              <w:numPr>
                <w:ilvl w:val="0"/>
                <w:numId w:val="7"/>
              </w:numPr>
              <w:tabs>
                <w:tab w:val="left" w:pos="886"/>
              </w:tabs>
              <w:spacing w:after="160" w:line="259" w:lineRule="auto"/>
              <w:ind w:firstLine="24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Uffici di Trasferimento Tecnologico</w:t>
            </w:r>
          </w:p>
          <w:p w14:paraId="163227F1" w14:textId="77777777" w:rsidR="0003196F" w:rsidRPr="00F43007" w:rsidRDefault="0003196F" w:rsidP="0003196F">
            <w:pPr>
              <w:pStyle w:val="Paragrafoelenco"/>
              <w:numPr>
                <w:ilvl w:val="0"/>
                <w:numId w:val="7"/>
              </w:numPr>
              <w:tabs>
                <w:tab w:val="left" w:pos="886"/>
              </w:tabs>
              <w:spacing w:after="160" w:line="259" w:lineRule="auto"/>
              <w:ind w:firstLine="24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Uffici di placement</w:t>
            </w:r>
          </w:p>
          <w:p w14:paraId="1D331402" w14:textId="77777777" w:rsidR="0003196F" w:rsidRPr="00F43007" w:rsidRDefault="0003196F" w:rsidP="0003196F">
            <w:pPr>
              <w:pStyle w:val="Paragrafoelenco"/>
              <w:numPr>
                <w:ilvl w:val="0"/>
                <w:numId w:val="7"/>
              </w:numPr>
              <w:tabs>
                <w:tab w:val="left" w:pos="886"/>
              </w:tabs>
              <w:spacing w:after="160" w:line="259" w:lineRule="auto"/>
              <w:ind w:firstLine="24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Incubatori</w:t>
            </w:r>
          </w:p>
          <w:p w14:paraId="4B9340D5" w14:textId="77777777" w:rsidR="0003196F" w:rsidRPr="00F43007" w:rsidRDefault="0003196F" w:rsidP="0003196F">
            <w:pPr>
              <w:pStyle w:val="Paragrafoelenco"/>
              <w:numPr>
                <w:ilvl w:val="0"/>
                <w:numId w:val="7"/>
              </w:numPr>
              <w:tabs>
                <w:tab w:val="left" w:pos="886"/>
              </w:tabs>
              <w:spacing w:after="160" w:line="259" w:lineRule="auto"/>
              <w:ind w:firstLine="24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Consorzi e associazioni per la Terza Missione</w:t>
            </w:r>
          </w:p>
          <w:p w14:paraId="6B2AF661" w14:textId="77777777" w:rsidR="0003196F" w:rsidRPr="00F43007" w:rsidRDefault="0003196F" w:rsidP="0003196F">
            <w:pPr>
              <w:pStyle w:val="Paragrafoelenco"/>
              <w:numPr>
                <w:ilvl w:val="0"/>
                <w:numId w:val="7"/>
              </w:numPr>
              <w:tabs>
                <w:tab w:val="left" w:pos="886"/>
              </w:tabs>
              <w:spacing w:after="160" w:line="259" w:lineRule="auto"/>
              <w:ind w:firstLine="24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Parchi Scientifici</w:t>
            </w:r>
          </w:p>
        </w:tc>
        <w:tc>
          <w:tcPr>
            <w:tcW w:w="4792" w:type="dxa"/>
          </w:tcPr>
          <w:p w14:paraId="6A3AE09F" w14:textId="77777777" w:rsidR="0003196F" w:rsidRPr="00F43007" w:rsidRDefault="0003196F" w:rsidP="0003196F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  <w:b/>
              </w:rPr>
              <w:t>Formazione continua, apprendimento permanente e didattica aperta</w:t>
            </w:r>
          </w:p>
          <w:p w14:paraId="6FC8177D" w14:textId="77777777" w:rsidR="0003196F" w:rsidRPr="00F43007" w:rsidRDefault="0003196F" w:rsidP="0003196F">
            <w:pPr>
              <w:pStyle w:val="Paragrafoelenco"/>
              <w:numPr>
                <w:ilvl w:val="0"/>
                <w:numId w:val="11"/>
              </w:numPr>
              <w:spacing w:after="160" w:line="259" w:lineRule="auto"/>
              <w:ind w:left="865" w:hanging="142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 xml:space="preserve">Formazione continua </w:t>
            </w:r>
            <w:r w:rsidRPr="00F43007">
              <w:rPr>
                <w:rFonts w:eastAsia="Times New Roman"/>
                <w:i/>
              </w:rPr>
              <w:t>(attività di formazione continua svolte in collaborazione con organizzazioni esterne, in particolare i corsi di formazione continua e i corsi di formazione professionale a personale di organizzazioni esterne, a condizione che non rilascino titoli di tipo accademico e che siano disciplinate da una apposita convenzione fra il dipartimento o l’ateneo interessato e l’organizzazione esterna. Si possono assimilare alle attività suddette anche iniziative svolte in assenza di una convenzione, purché sulla base di atti formali del dipartimento o dell’ateneo (es. delibere di attivazione del corso), dalle quali si evinca l’obiettivo di una formazione funzionale alla specializzazione nel lavoro o all’inserimento nello stesso. Possono rientrare anche le attività di formazione dei laureati presso le imprese se svolte a favore di ex studenti ora laureati e purché ci sia una convenzione con l’impresa).</w:t>
            </w:r>
          </w:p>
          <w:p w14:paraId="6A3A0D8B" w14:textId="77777777" w:rsidR="0003196F" w:rsidRPr="00F9454E" w:rsidRDefault="0003196F" w:rsidP="0003196F">
            <w:pPr>
              <w:pStyle w:val="Paragrafoelenco"/>
              <w:numPr>
                <w:ilvl w:val="0"/>
                <w:numId w:val="11"/>
              </w:numPr>
              <w:spacing w:after="160" w:line="259" w:lineRule="auto"/>
              <w:ind w:left="865" w:hanging="142"/>
              <w:rPr>
                <w:rFonts w:eastAsia="Times New Roman"/>
                <w:i/>
              </w:rPr>
            </w:pPr>
            <w:r w:rsidRPr="00F9454E">
              <w:rPr>
                <w:rFonts w:eastAsia="Times New Roman"/>
              </w:rPr>
              <w:t xml:space="preserve">Educazione Continua in Medicina </w:t>
            </w:r>
            <w:r w:rsidRPr="00F9454E">
              <w:rPr>
                <w:rFonts w:eastAsia="Times New Roman"/>
                <w:i/>
              </w:rPr>
              <w:t xml:space="preserve">(attività relativa ai corsi di Educazione Continua in Medicina (ECM) certificati dal Ministero della Salute e rivolti a medici, farmacisti, infermieri, veterinari, biologi, tecnici di laboratorio e altro personale interessato del dipartimento. </w:t>
            </w:r>
            <w:r w:rsidRPr="00F9454E">
              <w:rPr>
                <w:rFonts w:eastAsia="Times New Roman"/>
                <w:i/>
              </w:rPr>
              <w:lastRenderedPageBreak/>
              <w:t>Possono essere considerate attività ECM sia quelle in cui l’università fa da provider sia quelle svolte da provider esterni, a patto che il corso sia stato interamente organizzato dall'ateneo</w:t>
            </w:r>
            <w:proofErr w:type="gramStart"/>
            <w:r w:rsidRPr="00F9454E">
              <w:rPr>
                <w:rFonts w:eastAsia="Times New Roman"/>
                <w:i/>
              </w:rPr>
              <w:t>)..</w:t>
            </w:r>
            <w:proofErr w:type="gramEnd"/>
          </w:p>
          <w:p w14:paraId="50268681" w14:textId="77777777" w:rsidR="0003196F" w:rsidRPr="00F43007" w:rsidRDefault="0003196F" w:rsidP="0003196F">
            <w:pPr>
              <w:pStyle w:val="Paragrafoelenco"/>
              <w:numPr>
                <w:ilvl w:val="0"/>
                <w:numId w:val="11"/>
              </w:numPr>
              <w:spacing w:after="160" w:line="259" w:lineRule="auto"/>
              <w:ind w:left="865" w:hanging="142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Certificazione delle competenze</w:t>
            </w:r>
          </w:p>
          <w:p w14:paraId="7102EA1D" w14:textId="77777777" w:rsidR="0003196F" w:rsidRPr="00F43007" w:rsidRDefault="0003196F" w:rsidP="0003196F">
            <w:pPr>
              <w:pStyle w:val="Paragrafoelenco"/>
              <w:numPr>
                <w:ilvl w:val="0"/>
                <w:numId w:val="11"/>
              </w:numPr>
              <w:spacing w:after="160" w:line="259" w:lineRule="auto"/>
              <w:ind w:left="865" w:hanging="142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 xml:space="preserve">Alternanza Scuola Lavoro </w:t>
            </w:r>
            <w:r w:rsidRPr="00F43007">
              <w:rPr>
                <w:rFonts w:eastAsia="Times New Roman"/>
                <w:i/>
              </w:rPr>
              <w:t>(attività di riconoscimento, validazione e certificazione delle competenze che l’ateneo svolge nei confronti di organizzazioni esterne e disciplinate da una apposita convenzione fra il dipartimento o l’ateneo e l’organizzazione stessa. Sono altresì considerate le iniziative rivolte a singoli individui o specifici gruppi e target (ad esempio, i migranti), anche svolte in assenza di una convenzione, purché sulla base di altri atti formali del dipartimento o dell’ateneo (ad es. attestante la partecipazione a un network europeo), e dalle quali si evinca l’obiettivo di riconoscimento, validazione e certificazione delle competenze).</w:t>
            </w:r>
          </w:p>
          <w:p w14:paraId="17DC3FEA" w14:textId="77777777" w:rsidR="0003196F" w:rsidRPr="00F43007" w:rsidRDefault="0003196F" w:rsidP="0003196F">
            <w:pPr>
              <w:pStyle w:val="Paragrafoelenco"/>
              <w:numPr>
                <w:ilvl w:val="0"/>
                <w:numId w:val="11"/>
              </w:numPr>
              <w:spacing w:after="160" w:line="259" w:lineRule="auto"/>
              <w:ind w:left="865" w:hanging="142"/>
              <w:rPr>
                <w:rFonts w:eastAsia="Times New Roman"/>
              </w:rPr>
            </w:pPr>
            <w:r w:rsidRPr="00F43007">
              <w:rPr>
                <w:rFonts w:eastAsia="Times New Roman"/>
              </w:rPr>
              <w:t>MOOC (Massive Open Online Course</w:t>
            </w:r>
            <w:r w:rsidRPr="00F43007">
              <w:rPr>
                <w:rFonts w:eastAsia="Times New Roman"/>
                <w:i/>
              </w:rPr>
              <w:t>s) sono corsi a distanza che consentono alle persone, anche di diversa provenienza geografica, di accedere ad una formazione di qualità a distanza. Gli utenti seguono le lezioni via Internet anche in contemporanea, senza pagare tasse di iscrizione e con accesso libero ai materiali didattici. Esistono tante tipologie di MOOC: alcuni rilasciano attestati di partecipazione a fine corso, altri consentono di conseguire crediti universitari o addirittura titoli di studio come master; alcuni consentono l’acquisizione di competenze molto specifiche e settoriali mentre altri offrono dei percorsi utili alla crescita personale. Diverse università italiane hanno creato una propria piattaforma digitale, dedicata all’erogazione dei MOOC, o si appoggiano alle piattaforme più importanti e internazionali. I corsi sono accessibili tramite iscrizione e possono prevedere il rilascio di una certificazione).</w:t>
            </w:r>
          </w:p>
        </w:tc>
      </w:tr>
      <w:tr w:rsidR="0003196F" w:rsidRPr="00F43007" w14:paraId="476918BD" w14:textId="77777777" w:rsidTr="00410C82">
        <w:tc>
          <w:tcPr>
            <w:tcW w:w="4836" w:type="dxa"/>
          </w:tcPr>
          <w:p w14:paraId="6E631F47" w14:textId="77777777" w:rsidR="0003196F" w:rsidRPr="00F43007" w:rsidRDefault="0003196F" w:rsidP="00410C82">
            <w:pPr>
              <w:tabs>
                <w:tab w:val="left" w:pos="886"/>
              </w:tabs>
              <w:rPr>
                <w:rFonts w:eastAsia="Times New Roman"/>
              </w:rPr>
            </w:pPr>
          </w:p>
        </w:tc>
        <w:tc>
          <w:tcPr>
            <w:tcW w:w="4792" w:type="dxa"/>
          </w:tcPr>
          <w:p w14:paraId="6BB3EA97" w14:textId="77777777" w:rsidR="0003196F" w:rsidRPr="00F43007" w:rsidRDefault="0003196F" w:rsidP="0003196F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eastAsia="Times New Roman"/>
                <w:i/>
              </w:rPr>
            </w:pPr>
            <w:r w:rsidRPr="00F43007">
              <w:rPr>
                <w:rFonts w:eastAsia="Times New Roman"/>
                <w:b/>
              </w:rPr>
              <w:t>Public Engagement</w:t>
            </w:r>
            <w:r w:rsidRPr="00F43007">
              <w:rPr>
                <w:rFonts w:eastAsia="Times New Roman"/>
              </w:rPr>
              <w:t xml:space="preserve"> </w:t>
            </w:r>
            <w:r w:rsidRPr="00F43007">
              <w:rPr>
                <w:rFonts w:eastAsia="Times New Roman"/>
                <w:i/>
              </w:rPr>
              <w:t xml:space="preserve">si intende l’insieme di attività organizzate istituzionalmente </w:t>
            </w:r>
            <w:r w:rsidRPr="00F43007">
              <w:rPr>
                <w:rFonts w:eastAsia="Times New Roman"/>
                <w:i/>
              </w:rPr>
              <w:lastRenderedPageBreak/>
              <w:t>dall’ateneo o dalle sue strutture senza scopo di lucro con valore educativo, culturale e di sviluppo della società e rivolte a un pubblico non accademico. Le attività che rientrano in tale categoria sono:</w:t>
            </w:r>
          </w:p>
          <w:p w14:paraId="703B902C" w14:textId="77777777" w:rsidR="0003196F" w:rsidRPr="00F43007" w:rsidRDefault="0003196F" w:rsidP="0003196F">
            <w:pPr>
              <w:pStyle w:val="Paragrafoelenco"/>
              <w:numPr>
                <w:ilvl w:val="1"/>
                <w:numId w:val="5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  <w:i/>
              </w:rPr>
              <w:t xml:space="preserve">organizzazione di concerti, spettacoli teatrali, rassegne cinematografiche, eventi sportivi, mostre, esposizioni </w:t>
            </w:r>
            <w:r w:rsidRPr="00F43007">
              <w:rPr>
                <w:rFonts w:eastAsia="Times New Roman"/>
              </w:rPr>
              <w:t>e altri eventi di pubblica utilità aperti alla comunità;</w:t>
            </w:r>
          </w:p>
          <w:p w14:paraId="3816E8C9" w14:textId="77777777" w:rsidR="0003196F" w:rsidRPr="00F43007" w:rsidRDefault="0003196F" w:rsidP="0003196F">
            <w:pPr>
              <w:pStyle w:val="Paragrafoelenco"/>
              <w:numPr>
                <w:ilvl w:val="1"/>
                <w:numId w:val="5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  <w:i/>
              </w:rPr>
              <w:t>pubblicazioni (cartacee e digitali) dedicate al pubblico non accademico;</w:t>
            </w:r>
          </w:p>
          <w:p w14:paraId="61ED4A26" w14:textId="77777777" w:rsidR="0003196F" w:rsidRPr="00F43007" w:rsidRDefault="0003196F" w:rsidP="0003196F">
            <w:pPr>
              <w:pStyle w:val="Paragrafoelenco"/>
              <w:numPr>
                <w:ilvl w:val="1"/>
                <w:numId w:val="5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  <w:i/>
              </w:rPr>
              <w:t>produzione di programmi radiofonici e televisivi;</w:t>
            </w:r>
          </w:p>
          <w:p w14:paraId="6742798E" w14:textId="77777777" w:rsidR="0003196F" w:rsidRPr="00F43007" w:rsidRDefault="0003196F" w:rsidP="0003196F">
            <w:pPr>
              <w:pStyle w:val="Paragrafoelenco"/>
              <w:numPr>
                <w:ilvl w:val="1"/>
                <w:numId w:val="5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  <w:i/>
              </w:rPr>
              <w:t>pubblicazione e gestione di siti web e altri canali social di comunicazione e divulgazione scientifica (escluso il sito istituzionale dell’ateneo);</w:t>
            </w:r>
          </w:p>
          <w:p w14:paraId="7C3E300C" w14:textId="77777777" w:rsidR="0003196F" w:rsidRPr="00F43007" w:rsidRDefault="0003196F" w:rsidP="0003196F">
            <w:pPr>
              <w:pStyle w:val="Paragrafoelenco"/>
              <w:numPr>
                <w:ilvl w:val="1"/>
                <w:numId w:val="5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  <w:i/>
              </w:rPr>
              <w:t>organizzazione di iniziative di valorizzazione, consultazione e condivisione della ricerca (es. eventi di interazione tra ricercatori e pubblici, dibattiti, festival e caffè scientifici, consultazioni on-line);</w:t>
            </w:r>
          </w:p>
          <w:p w14:paraId="78C63909" w14:textId="77777777" w:rsidR="0003196F" w:rsidRPr="00F43007" w:rsidRDefault="0003196F" w:rsidP="0003196F">
            <w:pPr>
              <w:pStyle w:val="Paragrafoelenco"/>
              <w:numPr>
                <w:ilvl w:val="1"/>
                <w:numId w:val="5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  <w:i/>
              </w:rPr>
              <w:t>iniziative di tutela della salute (es. giornate informative e di prevenzione, campagne di screening e di sensibilizzazione);</w:t>
            </w:r>
          </w:p>
          <w:p w14:paraId="67871810" w14:textId="77777777" w:rsidR="0003196F" w:rsidRPr="00F43007" w:rsidRDefault="0003196F" w:rsidP="0003196F">
            <w:pPr>
              <w:pStyle w:val="Paragrafoelenco"/>
              <w:numPr>
                <w:ilvl w:val="1"/>
                <w:numId w:val="5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  <w:i/>
              </w:rPr>
              <w:t xml:space="preserve">attività di coinvolgimento e interazione con il mondo della scuola (es. simulazioni, esperimenti </w:t>
            </w:r>
            <w:proofErr w:type="spellStart"/>
            <w:r w:rsidRPr="00F43007">
              <w:rPr>
                <w:rFonts w:eastAsia="Times New Roman"/>
                <w:i/>
              </w:rPr>
              <w:t>hands-on</w:t>
            </w:r>
            <w:proofErr w:type="spellEnd"/>
            <w:r w:rsidRPr="00F43007">
              <w:rPr>
                <w:rFonts w:eastAsia="Times New Roman"/>
                <w:i/>
              </w:rPr>
              <w:t xml:space="preserve"> altre attività laboratoriali, didattica innovativa, </w:t>
            </w:r>
            <w:proofErr w:type="spellStart"/>
            <w:r w:rsidRPr="00F43007">
              <w:rPr>
                <w:rFonts w:eastAsia="Times New Roman"/>
                <w:i/>
              </w:rPr>
              <w:t>children</w:t>
            </w:r>
            <w:proofErr w:type="spellEnd"/>
            <w:r w:rsidRPr="00F43007">
              <w:rPr>
                <w:rFonts w:eastAsia="Times New Roman"/>
                <w:i/>
              </w:rPr>
              <w:t xml:space="preserve"> </w:t>
            </w:r>
            <w:proofErr w:type="spellStart"/>
            <w:r w:rsidRPr="00F43007">
              <w:rPr>
                <w:rFonts w:eastAsia="Times New Roman"/>
                <w:i/>
              </w:rPr>
              <w:t>university</w:t>
            </w:r>
            <w:proofErr w:type="spellEnd"/>
            <w:r w:rsidRPr="00F43007">
              <w:rPr>
                <w:rFonts w:eastAsia="Times New Roman"/>
                <w:i/>
              </w:rPr>
              <w:t>);</w:t>
            </w:r>
          </w:p>
          <w:p w14:paraId="44B2F926" w14:textId="77777777" w:rsidR="0003196F" w:rsidRPr="00F43007" w:rsidRDefault="0003196F" w:rsidP="0003196F">
            <w:pPr>
              <w:pStyle w:val="Paragrafoelenco"/>
              <w:numPr>
                <w:ilvl w:val="1"/>
                <w:numId w:val="5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  <w:i/>
              </w:rPr>
              <w:t>partecipazione alla formulazione di programmi di pubblico interesse (policy-making);</w:t>
            </w:r>
          </w:p>
          <w:p w14:paraId="210D10C1" w14:textId="77777777" w:rsidR="0003196F" w:rsidRPr="00F43007" w:rsidRDefault="0003196F" w:rsidP="0003196F">
            <w:pPr>
              <w:pStyle w:val="Paragrafoelenco"/>
              <w:numPr>
                <w:ilvl w:val="1"/>
                <w:numId w:val="5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  <w:i/>
              </w:rPr>
              <w:t>partecipazione a progetti di sviluppo urbano o valorizzazione del territorio;</w:t>
            </w:r>
          </w:p>
          <w:p w14:paraId="0D488FD0" w14:textId="77777777" w:rsidR="0003196F" w:rsidRPr="00F43007" w:rsidRDefault="0003196F" w:rsidP="0003196F">
            <w:pPr>
              <w:pStyle w:val="Paragrafoelenco"/>
              <w:numPr>
                <w:ilvl w:val="1"/>
                <w:numId w:val="5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  <w:i/>
              </w:rPr>
              <w:t xml:space="preserve">iniziative di democrazia partecipativa (es. consensus conferences, </w:t>
            </w:r>
            <w:proofErr w:type="spellStart"/>
            <w:r w:rsidRPr="00F43007">
              <w:rPr>
                <w:rFonts w:eastAsia="Times New Roman"/>
                <w:i/>
              </w:rPr>
              <w:t>citizen</w:t>
            </w:r>
            <w:proofErr w:type="spellEnd"/>
            <w:r w:rsidRPr="00F43007">
              <w:rPr>
                <w:rFonts w:eastAsia="Times New Roman"/>
                <w:i/>
              </w:rPr>
              <w:t xml:space="preserve"> panel);</w:t>
            </w:r>
          </w:p>
          <w:p w14:paraId="33C1CDEB" w14:textId="77777777" w:rsidR="0003196F" w:rsidRPr="00F43007" w:rsidRDefault="0003196F" w:rsidP="0003196F">
            <w:pPr>
              <w:pStyle w:val="Paragrafoelenco"/>
              <w:numPr>
                <w:ilvl w:val="1"/>
                <w:numId w:val="5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  <w:i/>
              </w:rPr>
              <w:t xml:space="preserve">iniziative di co-produzione di conoscenza (es: </w:t>
            </w:r>
            <w:proofErr w:type="spellStart"/>
            <w:r w:rsidRPr="00F43007">
              <w:rPr>
                <w:rFonts w:eastAsia="Times New Roman"/>
                <w:i/>
              </w:rPr>
              <w:t>citizen</w:t>
            </w:r>
            <w:proofErr w:type="spellEnd"/>
            <w:r w:rsidRPr="00F43007">
              <w:rPr>
                <w:rFonts w:eastAsia="Times New Roman"/>
                <w:i/>
              </w:rPr>
              <w:t xml:space="preserve"> science, </w:t>
            </w:r>
            <w:proofErr w:type="spellStart"/>
            <w:r w:rsidRPr="00F43007">
              <w:rPr>
                <w:rFonts w:eastAsia="Times New Roman"/>
                <w:i/>
              </w:rPr>
              <w:t>contamination</w:t>
            </w:r>
            <w:proofErr w:type="spellEnd"/>
            <w:r w:rsidRPr="00F43007">
              <w:rPr>
                <w:rFonts w:eastAsia="Times New Roman"/>
                <w:i/>
              </w:rPr>
              <w:t xml:space="preserve"> lab);</w:t>
            </w:r>
          </w:p>
          <w:p w14:paraId="2D05826B" w14:textId="77777777" w:rsidR="0003196F" w:rsidRPr="00F43007" w:rsidRDefault="0003196F" w:rsidP="0003196F">
            <w:pPr>
              <w:pStyle w:val="Paragrafoelenco"/>
              <w:numPr>
                <w:ilvl w:val="1"/>
                <w:numId w:val="5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  <w:i/>
              </w:rPr>
              <w:t>altre iniziative di carattere istituzionale</w:t>
            </w:r>
            <w:r w:rsidRPr="00F43007">
              <w:rPr>
                <w:rFonts w:eastAsia="Times New Roman"/>
              </w:rPr>
              <w:t>.</w:t>
            </w:r>
          </w:p>
        </w:tc>
      </w:tr>
      <w:tr w:rsidR="0003196F" w:rsidRPr="00F43007" w14:paraId="5CDE6068" w14:textId="77777777" w:rsidTr="00410C82">
        <w:trPr>
          <w:trHeight w:val="866"/>
        </w:trPr>
        <w:tc>
          <w:tcPr>
            <w:tcW w:w="4836" w:type="dxa"/>
          </w:tcPr>
          <w:p w14:paraId="25E6EAA5" w14:textId="77777777" w:rsidR="0003196F" w:rsidRPr="00F43007" w:rsidRDefault="0003196F" w:rsidP="00410C82">
            <w:pPr>
              <w:rPr>
                <w:rFonts w:eastAsia="Times New Roman"/>
                <w:b/>
              </w:rPr>
            </w:pPr>
          </w:p>
        </w:tc>
        <w:tc>
          <w:tcPr>
            <w:tcW w:w="4792" w:type="dxa"/>
          </w:tcPr>
          <w:p w14:paraId="26C48992" w14:textId="77777777" w:rsidR="0003196F" w:rsidRPr="00F43007" w:rsidRDefault="0003196F" w:rsidP="0003196F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eastAsia="Times New Roman"/>
              </w:rPr>
            </w:pPr>
            <w:r w:rsidRPr="00F43007">
              <w:rPr>
                <w:rFonts w:eastAsia="Times New Roman"/>
                <w:b/>
              </w:rPr>
              <w:t>Produzione di beni pubblici di natura sociale, educativa e politiche per l’inclusione</w:t>
            </w:r>
            <w:r w:rsidRPr="00F43007">
              <w:rPr>
                <w:rFonts w:eastAsia="Times New Roman"/>
              </w:rPr>
              <w:t xml:space="preserve"> </w:t>
            </w:r>
            <w:r w:rsidRPr="00F43007">
              <w:rPr>
                <w:rFonts w:eastAsia="Times New Roman"/>
                <w:i/>
                <w:highlight w:val="cyan"/>
              </w:rPr>
              <w:t>Campo nuovo non presente nella precedente valutazione</w:t>
            </w:r>
            <w:r w:rsidRPr="00F43007">
              <w:rPr>
                <w:rFonts w:eastAsia="Times New Roman"/>
                <w:i/>
              </w:rPr>
              <w:t xml:space="preserve"> (per es. formulazione di programmi di pubblico interesse, partecipazione a progetti di sviluppo</w:t>
            </w:r>
            <w:r w:rsidRPr="00F43007">
              <w:rPr>
                <w:rFonts w:eastAsia="Times New Roman"/>
              </w:rPr>
              <w:t xml:space="preserve"> </w:t>
            </w:r>
            <w:r w:rsidRPr="00F43007">
              <w:rPr>
                <w:rFonts w:eastAsia="Times New Roman"/>
                <w:i/>
              </w:rPr>
              <w:t xml:space="preserve">urbano o valorizzazione del territorio e a iniziative di democrazia partecipativa, consensus conference, </w:t>
            </w:r>
            <w:proofErr w:type="spellStart"/>
            <w:r w:rsidRPr="00F43007">
              <w:rPr>
                <w:rFonts w:eastAsia="Times New Roman"/>
                <w:i/>
              </w:rPr>
              <w:t>citizen</w:t>
            </w:r>
            <w:proofErr w:type="spellEnd"/>
            <w:r w:rsidRPr="00F43007">
              <w:rPr>
                <w:rFonts w:eastAsia="Times New Roman"/>
                <w:i/>
              </w:rPr>
              <w:t xml:space="preserve"> panel)</w:t>
            </w:r>
          </w:p>
        </w:tc>
      </w:tr>
      <w:tr w:rsidR="0003196F" w:rsidRPr="00F43007" w14:paraId="03ACEDD6" w14:textId="77777777" w:rsidTr="00410C82">
        <w:trPr>
          <w:trHeight w:val="251"/>
        </w:trPr>
        <w:tc>
          <w:tcPr>
            <w:tcW w:w="4836" w:type="dxa"/>
          </w:tcPr>
          <w:p w14:paraId="5A2562BA" w14:textId="77777777" w:rsidR="0003196F" w:rsidRPr="00F43007" w:rsidRDefault="0003196F" w:rsidP="00410C82">
            <w:pPr>
              <w:rPr>
                <w:rFonts w:eastAsia="Times New Roman"/>
                <w:b/>
              </w:rPr>
            </w:pPr>
          </w:p>
        </w:tc>
        <w:tc>
          <w:tcPr>
            <w:tcW w:w="4792" w:type="dxa"/>
          </w:tcPr>
          <w:p w14:paraId="67495774" w14:textId="77777777" w:rsidR="0003196F" w:rsidRPr="00F43007" w:rsidRDefault="0003196F" w:rsidP="0003196F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eastAsia="Times New Roman"/>
                <w:i/>
              </w:rPr>
            </w:pPr>
            <w:r w:rsidRPr="00F43007">
              <w:rPr>
                <w:rFonts w:eastAsia="Times New Roman"/>
                <w:b/>
              </w:rPr>
              <w:t xml:space="preserve">Open Science </w:t>
            </w:r>
            <w:r w:rsidRPr="00F43007">
              <w:rPr>
                <w:rFonts w:eastAsia="Times New Roman"/>
                <w:i/>
                <w:highlight w:val="cyan"/>
              </w:rPr>
              <w:t>Campo nuovo non presente nella precedente valutazione</w:t>
            </w:r>
            <w:r w:rsidRPr="00F43007">
              <w:rPr>
                <w:rFonts w:eastAsia="Times New Roman"/>
                <w:i/>
              </w:rPr>
              <w:t xml:space="preserve"> (In questo campo di azione sono presi in considerazione tutti i casi studio che descrivono le azioni fondate su principi di trasparenza, rigore, riproducibilità, condivisione della ricerca e dei suoi metodi in tutte le fasi, dall’ideazione ai risultati e alle loro eventuali applicazioni. La diffusione del modello Open Science e lo sviluppo di strumenti innovativi a sostegno di questo intervengono direttamente su fasi fondamentali del processo di produzione e condivisione di nuova conoscenza: dalle pubblicazioni, alle tecnologie e dati aperti, dai metodi innovativi per la misura dell’impatto e per la valutazione della ricerca e dei suoi prodotti, alle nuove forme di co-produzione e di condivisione con i diversi attori sociali).</w:t>
            </w:r>
          </w:p>
        </w:tc>
      </w:tr>
      <w:tr w:rsidR="0003196F" w:rsidRPr="00F43007" w14:paraId="5037B214" w14:textId="77777777" w:rsidTr="00410C82">
        <w:trPr>
          <w:trHeight w:val="251"/>
        </w:trPr>
        <w:tc>
          <w:tcPr>
            <w:tcW w:w="4836" w:type="dxa"/>
          </w:tcPr>
          <w:p w14:paraId="1C2CE56A" w14:textId="77777777" w:rsidR="0003196F" w:rsidRPr="00F43007" w:rsidRDefault="0003196F" w:rsidP="00410C82">
            <w:pPr>
              <w:rPr>
                <w:rFonts w:eastAsia="Times New Roman"/>
                <w:b/>
              </w:rPr>
            </w:pPr>
          </w:p>
        </w:tc>
        <w:tc>
          <w:tcPr>
            <w:tcW w:w="4792" w:type="dxa"/>
          </w:tcPr>
          <w:p w14:paraId="0169CF9B" w14:textId="77777777" w:rsidR="0003196F" w:rsidRPr="00F43007" w:rsidRDefault="0003196F" w:rsidP="0003196F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eastAsia="Times New Roman"/>
                <w:i/>
              </w:rPr>
            </w:pPr>
            <w:r w:rsidRPr="00F43007">
              <w:rPr>
                <w:rFonts w:eastAsia="Times New Roman"/>
                <w:b/>
              </w:rPr>
              <w:t>Attività collegate all’Agenda ONU 2030 e agli Obiettivi di Sviluppo Sostenibile (</w:t>
            </w:r>
            <w:proofErr w:type="spellStart"/>
            <w:r w:rsidRPr="00F43007">
              <w:rPr>
                <w:rFonts w:eastAsia="Times New Roman"/>
                <w:b/>
              </w:rPr>
              <w:t>SDGs</w:t>
            </w:r>
            <w:proofErr w:type="spellEnd"/>
            <w:r w:rsidRPr="00F43007">
              <w:rPr>
                <w:rFonts w:eastAsia="Times New Roman"/>
                <w:b/>
              </w:rPr>
              <w:t xml:space="preserve">) </w:t>
            </w:r>
            <w:r w:rsidRPr="00F43007">
              <w:rPr>
                <w:rFonts w:eastAsia="Times New Roman"/>
                <w:i/>
                <w:highlight w:val="cyan"/>
              </w:rPr>
              <w:t>Campo nuovo non presente nella precedente valutazione</w:t>
            </w:r>
            <w:r w:rsidRPr="00F43007">
              <w:rPr>
                <w:rFonts w:eastAsia="Times New Roman"/>
              </w:rPr>
              <w:t xml:space="preserve"> </w:t>
            </w:r>
            <w:r w:rsidRPr="00F43007">
              <w:rPr>
                <w:rFonts w:eastAsia="Times New Roman"/>
                <w:i/>
              </w:rPr>
              <w:t>Gli Obiettivi di Sviluppo Sostenibile (</w:t>
            </w:r>
            <w:proofErr w:type="spellStart"/>
            <w:r w:rsidRPr="00F43007">
              <w:rPr>
                <w:rFonts w:eastAsia="Times New Roman"/>
                <w:i/>
              </w:rPr>
              <w:t>SDGs</w:t>
            </w:r>
            <w:proofErr w:type="spellEnd"/>
            <w:r w:rsidRPr="00F43007">
              <w:rPr>
                <w:rFonts w:eastAsia="Times New Roman"/>
                <w:i/>
              </w:rPr>
              <w:t>) adottati dagli Stati Membri dell’ONU nel 2015 (https://www.un.org/</w:t>
            </w:r>
            <w:proofErr w:type="spellStart"/>
            <w:r w:rsidRPr="00F43007">
              <w:rPr>
                <w:rFonts w:eastAsia="Times New Roman"/>
                <w:i/>
              </w:rPr>
              <w:t>sustainabledevelopment</w:t>
            </w:r>
            <w:proofErr w:type="spellEnd"/>
            <w:r w:rsidRPr="00F43007">
              <w:rPr>
                <w:rFonts w:eastAsia="Times New Roman"/>
                <w:i/>
              </w:rPr>
              <w:t xml:space="preserve">/), rappresentano un’agenda comune di lavoro, urgente e non rinviabile, rivolta a tutte le istituzioni e i paesi, sviluppati e in via di sviluppo. I Casi Studio che illustrano le Attività </w:t>
            </w:r>
            <w:proofErr w:type="spellStart"/>
            <w:r w:rsidRPr="00F43007">
              <w:rPr>
                <w:rFonts w:eastAsia="Times New Roman"/>
                <w:i/>
              </w:rPr>
              <w:t>colegate</w:t>
            </w:r>
            <w:proofErr w:type="spellEnd"/>
            <w:r w:rsidRPr="00F43007">
              <w:rPr>
                <w:rFonts w:eastAsia="Times New Roman"/>
                <w:i/>
              </w:rPr>
              <w:t xml:space="preserve"> all’Agenda 2030 sono:</w:t>
            </w:r>
          </w:p>
          <w:p w14:paraId="534E1458" w14:textId="77777777" w:rsidR="0003196F" w:rsidRPr="00F43007" w:rsidRDefault="0003196F" w:rsidP="00410C82">
            <w:pPr>
              <w:ind w:left="1099" w:hanging="142"/>
              <w:rPr>
                <w:rFonts w:eastAsia="Times New Roman"/>
                <w:i/>
              </w:rPr>
            </w:pPr>
            <w:r w:rsidRPr="00F43007">
              <w:rPr>
                <w:rFonts w:eastAsia="Times New Roman"/>
              </w:rPr>
              <w:t xml:space="preserve">- </w:t>
            </w:r>
            <w:r w:rsidRPr="00F43007">
              <w:rPr>
                <w:rFonts w:eastAsia="Times New Roman"/>
                <w:i/>
              </w:rPr>
              <w:t xml:space="preserve">di carattere organizzativo, infrastrutturale o di governance come ad esempio: istituire green office dedicati con figure nuove di </w:t>
            </w:r>
            <w:proofErr w:type="spellStart"/>
            <w:r w:rsidRPr="00F43007">
              <w:rPr>
                <w:rFonts w:eastAsia="Times New Roman"/>
                <w:i/>
              </w:rPr>
              <w:t>resources</w:t>
            </w:r>
            <w:proofErr w:type="spellEnd"/>
            <w:r w:rsidRPr="00F43007">
              <w:rPr>
                <w:rFonts w:eastAsia="Times New Roman"/>
                <w:i/>
              </w:rPr>
              <w:t xml:space="preserve"> &amp; </w:t>
            </w:r>
            <w:proofErr w:type="spellStart"/>
            <w:r w:rsidRPr="00F43007">
              <w:rPr>
                <w:rFonts w:eastAsia="Times New Roman"/>
                <w:i/>
              </w:rPr>
              <w:t>waste</w:t>
            </w:r>
            <w:proofErr w:type="spellEnd"/>
            <w:r w:rsidRPr="00F43007">
              <w:rPr>
                <w:rFonts w:eastAsia="Times New Roman"/>
                <w:i/>
              </w:rPr>
              <w:t xml:space="preserve"> manager accanto a quelle più tradizionali di energy manager, e </w:t>
            </w:r>
            <w:proofErr w:type="spellStart"/>
            <w:r w:rsidRPr="00F43007">
              <w:rPr>
                <w:rFonts w:eastAsia="Times New Roman"/>
                <w:i/>
              </w:rPr>
              <w:lastRenderedPageBreak/>
              <w:t>mobility</w:t>
            </w:r>
            <w:proofErr w:type="spellEnd"/>
            <w:r w:rsidRPr="00F43007">
              <w:rPr>
                <w:rFonts w:eastAsia="Times New Roman"/>
                <w:i/>
              </w:rPr>
              <w:t xml:space="preserve"> manager; o mettere a punto un piano di de-carbonizzazione del proprio campus; implementare sistemi e protocolli per la gestione dei rifiuti pericolosi, per la riduzione dell’utilizzo di combustibili fossili; o realizzare strutture e infrastrutture per l’efficientamento energetico, per la riduzione dell’utilizzo di combustibili fossili, per la produzione di energia rinnovabile diffusa e per il rifornimento di energia elettrica; o realizzare programmi e progetti di mobilità e pendolarismo più sostenibile (attraverso incentivi all’uso del trasporto pubblico, car-sharing, utilizzo di bici, ecc.); promuovere la pratica del telelavoro o della settimana lavorativa condensata per i dipendenti; implementare procedure amministrative che favoriscano gli appalti e gli acquisti verdi; o promuovere e realizzare progetti di monitoraggio ambientale, smart monitoring (qualità dell’aria, delle acque, ecc.) in collaborazione e/o condividendo i risultati con istituzioni e cittadini; o mettere in atto politiche di gestione dei punti di ristoro dell’Istituzione, attenti all’impatto sulla salute degli utenti e sull’ambiente; o costruire nuovi edifici secondo standard sostenibili; rigenerare siti dismessi; o realizzare orti universitari; o promuovere iniziative e programmi a favore della diversità (es. programmi per migliorare accesso e fruibilità di servizi alle minoranze etniche, religiose, di genere, etc.); o realizzare interventi di welfare e mirate politiche del personale a tutela della dignità degli studenti e del personale nelle aule, nei laboratori, ecc., con l’obiettivo di migliorare le condizioni di vita e lavoro all’interno dell’Istituzione; promuovere e realizzare progetti a favore della cooperazione e sviluppo internazionale;</w:t>
            </w:r>
          </w:p>
          <w:p w14:paraId="756F6628" w14:textId="77777777" w:rsidR="0003196F" w:rsidRPr="00F43007" w:rsidRDefault="0003196F" w:rsidP="00410C82">
            <w:pPr>
              <w:ind w:left="1099" w:hanging="142"/>
              <w:rPr>
                <w:rFonts w:eastAsia="Times New Roman"/>
                <w:i/>
              </w:rPr>
            </w:pPr>
            <w:r w:rsidRPr="00F43007">
              <w:rPr>
                <w:rFonts w:eastAsia="Times New Roman"/>
                <w:i/>
              </w:rPr>
              <w:t xml:space="preserve">- di sensibilizzazione e di coinvolgimento pubblico, come ad esempio: realizzare programmi e progetti di sensibilizzazione sia nella comunità locale sia in quella interna al campus, rivolta al personale e alla componente studentesca per migliorare o promuovere la salute e il benessere, con </w:t>
            </w:r>
            <w:r w:rsidRPr="00F43007">
              <w:rPr>
                <w:rFonts w:eastAsia="Times New Roman"/>
                <w:i/>
              </w:rPr>
              <w:lastRenderedPageBreak/>
              <w:t>riferimento all'igiene, alla qualità degli ambienti di vita, alla nutrizione, alla pianificazione familiare, allo sport, all'esercizio fisico, all'invecchiamento e ad altri argomenti relativi alla salute e al benessere, in un’ottica di One Health; o realizzare programmi e progetti di sensibilizzazione sia nella comunità locale sia in quella interna al campus, al personale e alla componente studentesca per: la buona gestione dell’acqua ed il suo uso consapevole, l’efficienza energetica, la promozione delle energie rinnovabili e la transizione energetica, la mobilità sostenibile, il monitoraggio ambientale, riduzione e gestione dei rifiuti, il cambiamento climatico, la de-fossilizzazione, la salvaguardia degli ambienti acquatici, o interlocuzione con stakeholder locali ed europei e sensibilizzazione dell’opinione pubblica attraverso mass and social media;</w:t>
            </w:r>
          </w:p>
          <w:p w14:paraId="4DAF114E" w14:textId="77777777" w:rsidR="0003196F" w:rsidRPr="00F43007" w:rsidRDefault="0003196F" w:rsidP="00410C82">
            <w:pPr>
              <w:ind w:left="1099"/>
              <w:rPr>
                <w:rFonts w:eastAsia="Times New Roman"/>
                <w:i/>
              </w:rPr>
            </w:pPr>
            <w:r w:rsidRPr="00F43007">
              <w:rPr>
                <w:rFonts w:eastAsia="Times New Roman"/>
                <w:i/>
              </w:rPr>
              <w:t xml:space="preserve">- di </w:t>
            </w:r>
            <w:proofErr w:type="spellStart"/>
            <w:r w:rsidRPr="00F43007">
              <w:rPr>
                <w:rFonts w:eastAsia="Times New Roman"/>
                <w:i/>
              </w:rPr>
              <w:t>external</w:t>
            </w:r>
            <w:proofErr w:type="spellEnd"/>
            <w:r w:rsidRPr="00F43007">
              <w:rPr>
                <w:rFonts w:eastAsia="Times New Roman"/>
                <w:i/>
              </w:rPr>
              <w:t xml:space="preserve"> leadership: partecipazione a tavoli politici per lo sviluppo di percorsi a tutti i livelli per l’implementazione degli obiettivi dell’Agenda 2030: per il contrasto delle povertà in tutte le sue forme, la lotta alla violazione dei diritti umani, la sicurezza idrica, la salvaguardia e il monitoraggio dei comparti ambientali e degli ecosistemi acquatici e terrestri, l’educazione ambientale, i green jobs, la mobilità sostenibile, l’efficienza energetica e la transizione energetica, la pianificazione edilizia, ecodesign, la gestione dei rifiuti, il cambiamento climatico, la </w:t>
            </w:r>
            <w:proofErr w:type="spellStart"/>
            <w:r w:rsidRPr="00F43007">
              <w:rPr>
                <w:rFonts w:eastAsia="Times New Roman"/>
                <w:i/>
              </w:rPr>
              <w:t>defossilizzazione</w:t>
            </w:r>
            <w:proofErr w:type="spellEnd"/>
            <w:r w:rsidRPr="00F43007">
              <w:rPr>
                <w:rFonts w:eastAsia="Times New Roman"/>
                <w:i/>
              </w:rPr>
              <w:t xml:space="preserve">, le pratiche di pesca, la blue economy, ecc. o collaborare alla definizione di politiche di sviluppo economico finalizzate ad accompagnare le imprese (pubbliche e private e ONG) in percorsi di sviluppo di processi e prodotti sostenibili e per promuovere l'avviamento di nuove aziende sostenibili; o collaborare nello sviluppo delle politiche SDG a tutti i livelli di governo, promuovendo: azioni comuni, il dialogo intersettoriale, la collaborazione internazionale per la raccolta, </w:t>
            </w:r>
            <w:r w:rsidRPr="00F43007">
              <w:rPr>
                <w:rFonts w:eastAsia="Times New Roman"/>
                <w:i/>
              </w:rPr>
              <w:lastRenderedPageBreak/>
              <w:t>l’interlocuzione con stakeholder, la misurazione dei dati ed il trasferimento di buone pratiche, la cooperazione e lo sviluppo verso i paesi a basso reddito; o orientare e supportare i policy makers nella valutazione delle politiche sociali e di lotta alla povertà e disuguaglianza.</w:t>
            </w:r>
          </w:p>
        </w:tc>
      </w:tr>
    </w:tbl>
    <w:p w14:paraId="575A567A" w14:textId="77777777" w:rsidR="0003196F" w:rsidRDefault="0003196F" w:rsidP="00AC0905">
      <w:pPr>
        <w:jc w:val="both"/>
      </w:pPr>
    </w:p>
    <w:p w14:paraId="7506DFC8" w14:textId="5D019367" w:rsidR="00AC0905" w:rsidRDefault="00AC0905" w:rsidP="00145808">
      <w:pPr>
        <w:jc w:val="both"/>
        <w:rPr>
          <w:b/>
          <w:bCs/>
        </w:rPr>
      </w:pPr>
      <w:r w:rsidRPr="00AC0905">
        <w:rPr>
          <w:b/>
          <w:bCs/>
        </w:rPr>
        <w:t>Aree scientifiche coinvolte</w:t>
      </w:r>
      <w:r>
        <w:rPr>
          <w:b/>
          <w:bCs/>
        </w:rPr>
        <w:t>:</w:t>
      </w:r>
    </w:p>
    <w:p w14:paraId="0C6C56B0" w14:textId="77777777" w:rsidR="0003196F" w:rsidRDefault="00145808" w:rsidP="00145808">
      <w:pPr>
        <w:jc w:val="both"/>
        <w:rPr>
          <w:b/>
          <w:bCs/>
        </w:rPr>
      </w:pPr>
      <w:r w:rsidRPr="00AC0905">
        <w:rPr>
          <w:b/>
          <w:bCs/>
        </w:rPr>
        <w:t>Descrizione</w:t>
      </w:r>
      <w:r w:rsidR="0003196F">
        <w:rPr>
          <w:b/>
          <w:bCs/>
        </w:rPr>
        <w:t xml:space="preserve"> dell’attività: </w:t>
      </w:r>
      <w:r w:rsidR="0003196F" w:rsidRPr="0003196F">
        <w:rPr>
          <w:i/>
          <w:iCs/>
        </w:rPr>
        <w:t>(max 1000 caratteri spazi inclusi)</w:t>
      </w:r>
    </w:p>
    <w:p w14:paraId="4680E53E" w14:textId="28DA6BAD" w:rsidR="0003196F" w:rsidRPr="0003196F" w:rsidRDefault="0003196F" w:rsidP="0003196F">
      <w:pPr>
        <w:jc w:val="both"/>
        <w:rPr>
          <w:i/>
          <w:iCs/>
        </w:rPr>
      </w:pPr>
      <w:r w:rsidRPr="0003196F">
        <w:rPr>
          <w:b/>
          <w:bCs/>
        </w:rPr>
        <w:t>Obiettivi</w:t>
      </w:r>
      <w:r>
        <w:rPr>
          <w:b/>
          <w:bCs/>
        </w:rPr>
        <w:t xml:space="preserve">: </w:t>
      </w:r>
      <w:r w:rsidRPr="0003196F">
        <w:rPr>
          <w:i/>
          <w:iCs/>
        </w:rPr>
        <w:t>(max 500 caratteri spazi inclusi)</w:t>
      </w:r>
    </w:p>
    <w:p w14:paraId="59E74434" w14:textId="5E618FA8" w:rsidR="0003196F" w:rsidRPr="0003196F" w:rsidRDefault="0003196F" w:rsidP="0003196F">
      <w:pPr>
        <w:jc w:val="both"/>
        <w:rPr>
          <w:b/>
          <w:bCs/>
        </w:rPr>
      </w:pPr>
      <w:r w:rsidRPr="0003196F">
        <w:rPr>
          <w:b/>
          <w:bCs/>
        </w:rPr>
        <w:t>Rilevanza rispetto al contesto di riferimento</w:t>
      </w:r>
      <w:r>
        <w:rPr>
          <w:b/>
          <w:bCs/>
        </w:rPr>
        <w:t>:</w:t>
      </w:r>
    </w:p>
    <w:p w14:paraId="18306013" w14:textId="5FD108A1" w:rsidR="0003196F" w:rsidRPr="0003196F" w:rsidRDefault="0003196F" w:rsidP="0003196F">
      <w:pPr>
        <w:jc w:val="both"/>
        <w:rPr>
          <w:b/>
          <w:bCs/>
        </w:rPr>
      </w:pPr>
      <w:r w:rsidRPr="0003196F">
        <w:rPr>
          <w:b/>
          <w:bCs/>
        </w:rPr>
        <w:t>Target</w:t>
      </w:r>
      <w:r>
        <w:rPr>
          <w:b/>
          <w:bCs/>
        </w:rPr>
        <w:t>:</w:t>
      </w:r>
    </w:p>
    <w:p w14:paraId="12E282EF" w14:textId="7144F834" w:rsidR="0003196F" w:rsidRPr="0003196F" w:rsidRDefault="0003196F" w:rsidP="0003196F">
      <w:pPr>
        <w:jc w:val="both"/>
        <w:rPr>
          <w:b/>
          <w:bCs/>
        </w:rPr>
      </w:pPr>
      <w:r w:rsidRPr="0003196F">
        <w:rPr>
          <w:b/>
          <w:bCs/>
        </w:rPr>
        <w:t>Partner</w:t>
      </w:r>
      <w:r>
        <w:rPr>
          <w:b/>
          <w:bCs/>
        </w:rPr>
        <w:t>:</w:t>
      </w:r>
    </w:p>
    <w:p w14:paraId="16C5CFFC" w14:textId="7DF2DC6C" w:rsidR="0003196F" w:rsidRPr="0003196F" w:rsidRDefault="0003196F" w:rsidP="0003196F">
      <w:pPr>
        <w:jc w:val="both"/>
        <w:rPr>
          <w:b/>
          <w:bCs/>
        </w:rPr>
      </w:pPr>
      <w:r w:rsidRPr="0003196F">
        <w:rPr>
          <w:b/>
          <w:bCs/>
        </w:rPr>
        <w:t>Sponsor</w:t>
      </w:r>
      <w:r>
        <w:rPr>
          <w:b/>
          <w:bCs/>
        </w:rPr>
        <w:t>:</w:t>
      </w:r>
      <w:r w:rsidRPr="0003196F">
        <w:rPr>
          <w:b/>
          <w:bCs/>
        </w:rPr>
        <w:t xml:space="preserve"> </w:t>
      </w:r>
    </w:p>
    <w:p w14:paraId="3DC8C320" w14:textId="11263CAE" w:rsidR="0003196F" w:rsidRPr="0003196F" w:rsidRDefault="0003196F" w:rsidP="0003196F">
      <w:pPr>
        <w:jc w:val="both"/>
        <w:rPr>
          <w:i/>
          <w:iCs/>
        </w:rPr>
      </w:pPr>
      <w:r w:rsidRPr="0003196F">
        <w:rPr>
          <w:b/>
          <w:bCs/>
        </w:rPr>
        <w:t>Budget</w:t>
      </w:r>
      <w:r>
        <w:rPr>
          <w:b/>
          <w:bCs/>
        </w:rPr>
        <w:t>:</w:t>
      </w:r>
      <w:r w:rsidRPr="0003196F">
        <w:rPr>
          <w:b/>
          <w:bCs/>
        </w:rPr>
        <w:t xml:space="preserve"> </w:t>
      </w:r>
      <w:r w:rsidRPr="0003196F">
        <w:rPr>
          <w:i/>
          <w:iCs/>
        </w:rPr>
        <w:t>(Origine dei fondi e sostenibilità dell’iniziativa)</w:t>
      </w:r>
    </w:p>
    <w:p w14:paraId="398F7DFD" w14:textId="2D0DF270" w:rsidR="00145808" w:rsidRDefault="0003196F" w:rsidP="0003196F">
      <w:pPr>
        <w:jc w:val="both"/>
        <w:rPr>
          <w:b/>
          <w:bCs/>
        </w:rPr>
      </w:pPr>
      <w:r w:rsidRPr="0003196F">
        <w:rPr>
          <w:b/>
          <w:bCs/>
        </w:rPr>
        <w:t>Eventuale pubblicazione a scopo divulgativo come prodotto del progetto</w:t>
      </w:r>
      <w:r>
        <w:rPr>
          <w:b/>
          <w:bCs/>
        </w:rPr>
        <w:t>:</w:t>
      </w:r>
    </w:p>
    <w:p w14:paraId="1365D60A" w14:textId="77777777" w:rsidR="0003196F" w:rsidRDefault="0003196F" w:rsidP="0003196F">
      <w:pPr>
        <w:jc w:val="both"/>
        <w:rPr>
          <w:b/>
          <w:bCs/>
        </w:rPr>
      </w:pPr>
    </w:p>
    <w:p w14:paraId="1F0C2D5B" w14:textId="5DEE498F" w:rsidR="0003196F" w:rsidRDefault="00947645" w:rsidP="0003196F">
      <w:pPr>
        <w:jc w:val="both"/>
        <w:rPr>
          <w:b/>
          <w:bCs/>
        </w:rPr>
      </w:pPr>
      <w:r>
        <w:rPr>
          <w:b/>
          <w:bCs/>
        </w:rPr>
        <w:t>Inserire nel medesimo file i seguenti documenti</w:t>
      </w:r>
      <w:r w:rsidR="0003196F">
        <w:rPr>
          <w:b/>
          <w:bCs/>
        </w:rPr>
        <w:t>:</w:t>
      </w:r>
    </w:p>
    <w:p w14:paraId="3BB2B8AD" w14:textId="65CE8F8F" w:rsidR="00947645" w:rsidRDefault="00947645" w:rsidP="00947645">
      <w:pPr>
        <w:pStyle w:val="Paragrafoelenco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>Autorizzazione del Dipartimento</w:t>
      </w:r>
    </w:p>
    <w:p w14:paraId="2D856213" w14:textId="7A20FACA" w:rsidR="00947645" w:rsidRDefault="00947645" w:rsidP="00947645">
      <w:pPr>
        <w:pStyle w:val="Paragrafoelenco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>Eventuali convenzioni</w:t>
      </w:r>
    </w:p>
    <w:p w14:paraId="34D6BCFF" w14:textId="446BAB7E" w:rsidR="00947645" w:rsidRPr="00947645" w:rsidRDefault="00947645" w:rsidP="00947645">
      <w:pPr>
        <w:pStyle w:val="Paragrafoelenco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>Eventuali accreditamenti (ECM)</w:t>
      </w:r>
    </w:p>
    <w:p w14:paraId="1363F6BD" w14:textId="77777777" w:rsidR="0003196F" w:rsidRDefault="0003196F" w:rsidP="0003196F">
      <w:pPr>
        <w:jc w:val="both"/>
        <w:rPr>
          <w:b/>
          <w:bCs/>
        </w:rPr>
      </w:pPr>
    </w:p>
    <w:p w14:paraId="0527D350" w14:textId="77777777" w:rsidR="00AC0905" w:rsidRPr="00AC0905" w:rsidRDefault="00AC0905" w:rsidP="00145808">
      <w:pPr>
        <w:jc w:val="both"/>
        <w:rPr>
          <w:b/>
          <w:bCs/>
        </w:rPr>
      </w:pPr>
    </w:p>
    <w:sectPr w:rsidR="00AC0905" w:rsidRPr="00AC0905" w:rsidSect="00065D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5697"/>
    <w:multiLevelType w:val="hybridMultilevel"/>
    <w:tmpl w:val="7266235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7D7B88"/>
    <w:multiLevelType w:val="hybridMultilevel"/>
    <w:tmpl w:val="60A6216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1EC868C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0001B">
      <w:start w:val="1"/>
      <w:numFmt w:val="lowerRoman"/>
      <w:lvlText w:val="%3."/>
      <w:lvlJc w:val="right"/>
      <w:pPr>
        <w:ind w:left="2340" w:hanging="360"/>
      </w:pPr>
    </w:lvl>
    <w:lvl w:ilvl="3" w:tplc="4302FF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30406"/>
    <w:multiLevelType w:val="hybridMultilevel"/>
    <w:tmpl w:val="136A3168"/>
    <w:lvl w:ilvl="0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 w15:restartNumberingAfterBreak="0">
    <w:nsid w:val="49505005"/>
    <w:multiLevelType w:val="hybridMultilevel"/>
    <w:tmpl w:val="4300E22A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A5252A"/>
    <w:multiLevelType w:val="hybridMultilevel"/>
    <w:tmpl w:val="3BEE7D3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715E2"/>
    <w:multiLevelType w:val="hybridMultilevel"/>
    <w:tmpl w:val="52889D7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55214"/>
    <w:multiLevelType w:val="hybridMultilevel"/>
    <w:tmpl w:val="2BB8B386"/>
    <w:lvl w:ilvl="0" w:tplc="A3AC7FAE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B7966"/>
    <w:multiLevelType w:val="hybridMultilevel"/>
    <w:tmpl w:val="D9BECB62"/>
    <w:lvl w:ilvl="0" w:tplc="F23C82D4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A68E6"/>
    <w:multiLevelType w:val="hybridMultilevel"/>
    <w:tmpl w:val="C400EC32"/>
    <w:lvl w:ilvl="0" w:tplc="BC327D5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948CE"/>
    <w:multiLevelType w:val="hybridMultilevel"/>
    <w:tmpl w:val="B98A95E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20DB6"/>
    <w:multiLevelType w:val="hybridMultilevel"/>
    <w:tmpl w:val="9C5E5FDE"/>
    <w:lvl w:ilvl="0" w:tplc="D9201C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21BF4"/>
    <w:multiLevelType w:val="hybridMultilevel"/>
    <w:tmpl w:val="0C8CC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928848">
    <w:abstractNumId w:val="2"/>
  </w:num>
  <w:num w:numId="2" w16cid:durableId="872036277">
    <w:abstractNumId w:val="4"/>
  </w:num>
  <w:num w:numId="3" w16cid:durableId="1580169414">
    <w:abstractNumId w:val="8"/>
  </w:num>
  <w:num w:numId="4" w16cid:durableId="405155000">
    <w:abstractNumId w:val="6"/>
  </w:num>
  <w:num w:numId="5" w16cid:durableId="1428817403">
    <w:abstractNumId w:val="1"/>
  </w:num>
  <w:num w:numId="6" w16cid:durableId="359627017">
    <w:abstractNumId w:val="9"/>
  </w:num>
  <w:num w:numId="7" w16cid:durableId="427120240">
    <w:abstractNumId w:val="5"/>
  </w:num>
  <w:num w:numId="8" w16cid:durableId="1018501974">
    <w:abstractNumId w:val="7"/>
  </w:num>
  <w:num w:numId="9" w16cid:durableId="1967545328">
    <w:abstractNumId w:val="3"/>
  </w:num>
  <w:num w:numId="10" w16cid:durableId="1481579197">
    <w:abstractNumId w:val="10"/>
  </w:num>
  <w:num w:numId="11" w16cid:durableId="1816096003">
    <w:abstractNumId w:val="0"/>
  </w:num>
  <w:num w:numId="12" w16cid:durableId="338966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69"/>
    <w:rsid w:val="0003196F"/>
    <w:rsid w:val="00065D9B"/>
    <w:rsid w:val="0014254B"/>
    <w:rsid w:val="00145808"/>
    <w:rsid w:val="001C64BE"/>
    <w:rsid w:val="0038214D"/>
    <w:rsid w:val="00634B69"/>
    <w:rsid w:val="00947645"/>
    <w:rsid w:val="00A7708C"/>
    <w:rsid w:val="00AC0905"/>
    <w:rsid w:val="00B5327B"/>
    <w:rsid w:val="00C3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DE3CF4"/>
  <w15:chartTrackingRefBased/>
  <w15:docId w15:val="{7AB89E55-5D3E-4E45-B99F-A338BFB4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link w:val="Sommario1Carattere"/>
    <w:autoRedefine/>
    <w:uiPriority w:val="39"/>
    <w:rsid w:val="0014254B"/>
    <w:pPr>
      <w:spacing w:before="360" w:line="360" w:lineRule="auto"/>
      <w:ind w:left="227" w:hanging="227"/>
      <w:contextualSpacing/>
      <w:jc w:val="both"/>
    </w:pPr>
    <w:rPr>
      <w:b/>
      <w:caps/>
      <w:noProof/>
    </w:rPr>
  </w:style>
  <w:style w:type="character" w:customStyle="1" w:styleId="Sommario1Carattere">
    <w:name w:val="Sommario 1 Carattere"/>
    <w:basedOn w:val="Carpredefinitoparagrafo"/>
    <w:link w:val="Sommario1"/>
    <w:uiPriority w:val="39"/>
    <w:rsid w:val="0014254B"/>
    <w:rPr>
      <w:b/>
      <w:caps/>
      <w:noProof/>
    </w:rPr>
  </w:style>
  <w:style w:type="paragraph" w:styleId="Paragrafoelenco">
    <w:name w:val="List Paragraph"/>
    <w:basedOn w:val="Normale"/>
    <w:uiPriority w:val="34"/>
    <w:qFormat/>
    <w:rsid w:val="00634B69"/>
    <w:pPr>
      <w:ind w:left="720"/>
      <w:contextualSpacing/>
    </w:pPr>
  </w:style>
  <w:style w:type="table" w:styleId="Grigliatabella">
    <w:name w:val="Table Grid"/>
    <w:basedOn w:val="Tabellanormale"/>
    <w:uiPriority w:val="39"/>
    <w:rsid w:val="00382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58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5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 Ortuso</dc:creator>
  <cp:keywords/>
  <dc:description/>
  <cp:lastModifiedBy>Francesco  Ortuso</cp:lastModifiedBy>
  <cp:revision>3</cp:revision>
  <dcterms:created xsi:type="dcterms:W3CDTF">2023-05-19T14:00:00Z</dcterms:created>
  <dcterms:modified xsi:type="dcterms:W3CDTF">2023-05-19T14:00:00Z</dcterms:modified>
</cp:coreProperties>
</file>